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Introduction</w:t>
      </w:r>
    </w:p>
    <w:p w:rsidR="00000000" w:rsidDel="00000000" w:rsidP="00000000" w:rsidRDefault="00000000" w:rsidRPr="00000000" w14:paraId="00000002">
      <w:pPr>
        <w:rPr/>
      </w:pPr>
      <w:bookmarkStart w:colFirst="0" w:colLast="0" w:name="_30j0zll" w:id="1"/>
      <w:bookmarkEnd w:id="1"/>
      <w:r w:rsidDel="00000000" w:rsidR="00000000" w:rsidRPr="00000000">
        <w:rPr>
          <w:rtl w:val="0"/>
        </w:rPr>
        <w:t xml:space="preserve">This document provides all the details of the Lot 20 questions, including the requirement, response guidance, marking scheme and evaluation criteria for each question.</w:t>
      </w:r>
    </w:p>
    <w:p w:rsidR="00000000" w:rsidDel="00000000" w:rsidP="00000000" w:rsidRDefault="00000000" w:rsidRPr="00000000" w14:paraId="00000003">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4">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5">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p>
    <w:p w:rsidR="00000000" w:rsidDel="00000000" w:rsidP="00000000" w:rsidRDefault="00000000" w:rsidRPr="00000000" w14:paraId="00000008">
      <w:pPr>
        <w:rPr/>
      </w:pPr>
      <w:r w:rsidDel="00000000" w:rsidR="00000000" w:rsidRPr="00000000">
        <w:rPr>
          <w:rtl w:val="0"/>
        </w:rPr>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6946"/>
        <w:tblGridChange w:id="0">
          <w:tblGrid>
            <w:gridCol w:w="2552"/>
            <w:gridCol w:w="6946"/>
          </w:tblGrid>
        </w:tblGridChange>
      </w:tblGrid>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9">
            <w:pPr>
              <w:rPr>
                <w:b w:val="1"/>
              </w:rPr>
            </w:pPr>
            <w:r w:rsidDel="00000000" w:rsidR="00000000" w:rsidRPr="00000000">
              <w:rPr>
                <w:b w:val="1"/>
                <w:rtl w:val="0"/>
              </w:rPr>
              <w:t xml:space="preserve">Section Q – Lot 20 Specific Questions – Managed Enforcement Services</w:t>
            </w:r>
          </w:p>
        </w:tc>
      </w:tr>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B">
            <w:pPr>
              <w:rPr>
                <w:b w:val="1"/>
              </w:rPr>
            </w:pPr>
            <w:r w:rsidDel="00000000" w:rsidR="00000000" w:rsidRPr="00000000">
              <w:rPr>
                <w:b w:val="1"/>
                <w:rtl w:val="0"/>
              </w:rPr>
              <w:t xml:space="preserve">Q1 -  People, Systems and Processes</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D">
            <w:pPr>
              <w:rPr>
                <w:highlight w:val="white"/>
              </w:rPr>
            </w:pPr>
            <w:r w:rsidDel="00000000" w:rsidR="00000000" w:rsidRPr="00000000">
              <w:rPr>
                <w:rtl w:val="0"/>
              </w:rPr>
              <w:t xml:space="preserve">Requirement</w:t>
            </w:r>
            <w:r w:rsidDel="00000000" w:rsidR="00000000" w:rsidRPr="00000000">
              <w:rPr>
                <w:rtl w:val="0"/>
              </w:rPr>
            </w:r>
          </w:p>
          <w:p w:rsidR="00000000" w:rsidDel="00000000" w:rsidP="00000000" w:rsidRDefault="00000000" w:rsidRPr="00000000" w14:paraId="0000000E">
            <w:pPr>
              <w:rPr>
                <w:highlight w:val="white"/>
              </w:rPr>
            </w:pPr>
            <w:r w:rsidDel="00000000" w:rsidR="00000000" w:rsidRPr="00000000">
              <w:rPr>
                <w:highlight w:val="white"/>
                <w:rtl w:val="0"/>
              </w:rPr>
              <w:t xml:space="preserve">CCS requires bidders  to demonstrate the people, systems and processes that you will utilise to deliver an effective managed enforcement service that will be specific to the requirements set out in Schedule 1 - Annex I Managed Enforcement Services Specification.</w:t>
            </w:r>
          </w:p>
          <w:p w:rsidR="00000000" w:rsidDel="00000000" w:rsidP="00000000" w:rsidRDefault="00000000" w:rsidRPr="00000000" w14:paraId="0000000F">
            <w:pPr>
              <w:rPr/>
            </w:pPr>
            <w:r w:rsidDel="00000000" w:rsidR="00000000" w:rsidRPr="00000000">
              <w:rPr>
                <w:highlight w:val="white"/>
                <w:rtl w:val="0"/>
              </w:rPr>
              <w:t xml:space="preserve">Bidders will provide an organisational structure includ</w:t>
            </w:r>
            <w:r w:rsidDel="00000000" w:rsidR="00000000" w:rsidRPr="00000000">
              <w:rPr>
                <w:rtl w:val="0"/>
              </w:rPr>
              <w:t xml:space="preserve">ing Key Personnel along with all relevant qualifications and experience. Processes for providing and receiving accounts and progress updates on accounts from EA Subcontractors and how you will retain the most suitable Enforcement agencies on your panel to fulfil the requirements detailed in 1.10, 1.14, 1.39, 1.6, 1.7, 1.9, 1.17, 1.19, 1.35 - 1.37 and 1.42 Schedule 1 - Annex I Managed Enforcement Services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1">
            <w:pPr>
              <w:rPr/>
            </w:pPr>
            <w:r w:rsidDel="00000000" w:rsidR="00000000" w:rsidRPr="00000000">
              <w:rPr>
                <w:rtl w:val="0"/>
              </w:rPr>
              <w:t xml:space="preserve">Response guidance </w:t>
            </w:r>
          </w:p>
          <w:p w:rsidR="00000000" w:rsidDel="00000000" w:rsidP="00000000" w:rsidRDefault="00000000" w:rsidRPr="00000000" w14:paraId="00000012">
            <w:pPr>
              <w:rPr/>
            </w:pPr>
            <w:r w:rsidDel="00000000" w:rsidR="00000000" w:rsidRPr="00000000">
              <w:rPr>
                <w:rtl w:val="0"/>
              </w:rPr>
              <w:t xml:space="preserve">All bidders submitting a bid for Lot 20 must answer this question.</w:t>
            </w:r>
          </w:p>
          <w:p w:rsidR="00000000" w:rsidDel="00000000" w:rsidP="00000000" w:rsidRDefault="00000000" w:rsidRPr="00000000" w14:paraId="00000013">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1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processes you will have in place for providing and receiving accounts and progress updates on accounts from EA Subcontractors as detailed in 1.14 and 1.39 of Schedule 1 - Annex I Managed Enforcements Services Specification </w:t>
            </w:r>
          </w:p>
          <w:p w:rsidR="00000000" w:rsidDel="00000000" w:rsidP="00000000" w:rsidRDefault="00000000" w:rsidRPr="00000000" w14:paraId="0000001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attract and retain the most suitable enforcement agencies on your panel as per the specification points 1.6, 1.7, 1.9, 1.17, 1.19, 1.35 - 1.37 and 1.42 in Schedule 1 - Annex I Managed Enforcement Services Specification </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ind w:left="141" w:right="57" w:firstLine="0"/>
              <w:rPr/>
            </w:pPr>
            <w:r w:rsidDel="00000000" w:rsidR="00000000" w:rsidRPr="00000000">
              <w:rPr>
                <w:rtl w:val="0"/>
              </w:rPr>
              <w:t xml:space="preserve">In order to satisfy the requirement, you must also provide</w:t>
            </w:r>
          </w:p>
          <w:p w:rsidR="00000000" w:rsidDel="00000000" w:rsidP="00000000" w:rsidRDefault="00000000" w:rsidRPr="00000000" w14:paraId="0000001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organisation structure as an attachment including Key Personnel and  relevant qualifications and experience as described in key deliverables 1.10 of Annex I Managed Enforcement Services Specification </w:t>
            </w:r>
          </w:p>
          <w:p w:rsidR="00000000" w:rsidDel="00000000" w:rsidP="00000000" w:rsidRDefault="00000000" w:rsidRPr="00000000" w14:paraId="00000018">
            <w:pPr>
              <w:rPr>
                <w:b w:val="1"/>
                <w:highlight w:val="yellow"/>
              </w:rPr>
            </w:pPr>
            <w:r w:rsidDel="00000000" w:rsidR="00000000" w:rsidRPr="00000000">
              <w:rPr>
                <w:rtl w:val="0"/>
              </w:rPr>
              <w:t xml:space="preserve">You are required to insert your response to this question in the technical envelope </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 and b - your response should be limited to, and focused on, each of the component parts of the question posed (a and b). You must not make generalised statements or give irrelevant information. </w:t>
            </w:r>
          </w:p>
          <w:p w:rsidR="00000000" w:rsidDel="00000000" w:rsidP="00000000" w:rsidRDefault="00000000" w:rsidRPr="00000000" w14:paraId="0000001A">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1B">
            <w:pPr>
              <w:rPr/>
            </w:pPr>
            <w:r w:rsidDel="00000000" w:rsidR="00000000" w:rsidRPr="00000000">
              <w:rPr>
                <w:rtl w:val="0"/>
              </w:rPr>
              <w:t xml:space="preserve">Maximum character count – 12,000 characters including spaces and punctuation. Each box has a character count of 2,000 characters</w:t>
            </w:r>
          </w:p>
          <w:p w:rsidR="00000000" w:rsidDel="00000000" w:rsidP="00000000" w:rsidRDefault="00000000" w:rsidRPr="00000000" w14:paraId="0000001C">
            <w:pPr>
              <w:rPr>
                <w:color w:val="ff0000"/>
              </w:rPr>
            </w:pPr>
            <w:r w:rsidDel="00000000" w:rsidR="00000000" w:rsidRPr="00000000">
              <w:rPr>
                <w:rtl w:val="0"/>
              </w:rPr>
              <w:t xml:space="preserve">You must not exceed the character count within the e-Sourcing suite. Responses must include spaces between characters. </w:t>
            </w:r>
            <w:r w:rsidDel="00000000" w:rsidR="00000000" w:rsidRPr="00000000">
              <w:rPr>
                <w:rtl w:val="0"/>
              </w:rPr>
            </w:r>
          </w:p>
          <w:p w:rsidR="00000000" w:rsidDel="00000000" w:rsidP="00000000" w:rsidRDefault="00000000" w:rsidRPr="00000000" w14:paraId="0000001D">
            <w:pPr>
              <w:rPr>
                <w:b w:val="1"/>
                <w:color w:val="ff0000"/>
              </w:rPr>
            </w:pPr>
            <w:r w:rsidDel="00000000" w:rsidR="00000000" w:rsidRPr="00000000">
              <w:rPr>
                <w:rtl w:val="0"/>
              </w:rPr>
              <w:t xml:space="preserve">c - requires an organisational structure as an attachment which must be no longer than 2 pages of A4 and submitted in pdf format to question Q1a. </w:t>
              <w:br w:type="textWrapping"/>
              <w:t xml:space="preserve">Name the file [Q1a_ insertyourcompanyname].</w:t>
            </w:r>
            <w:r w:rsidDel="00000000" w:rsidR="00000000" w:rsidRPr="00000000">
              <w:rPr>
                <w:rtl w:val="0"/>
              </w:rPr>
            </w:r>
          </w:p>
        </w:tc>
      </w:tr>
      <w:tr>
        <w:trPr>
          <w:tblHeader w:val="0"/>
        </w:trPr>
        <w:tc>
          <w:tcPr>
            <w:shd w:fill="ffffcc" w:val="clear"/>
          </w:tcPr>
          <w:p w:rsidR="00000000" w:rsidDel="00000000" w:rsidP="00000000" w:rsidRDefault="00000000" w:rsidRPr="00000000" w14:paraId="0000001F">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20">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21">
            <w:pPr>
              <w:rPr/>
            </w:pPr>
            <w:r w:rsidDel="00000000" w:rsidR="00000000" w:rsidRPr="00000000">
              <w:rPr>
                <w:rtl w:val="0"/>
              </w:rPr>
              <w:t xml:space="preserve">100</w:t>
            </w:r>
          </w:p>
        </w:tc>
        <w:tc>
          <w:tcPr>
            <w:shd w:fill="ffffcc" w:val="clear"/>
          </w:tcPr>
          <w:p w:rsidR="00000000" w:rsidDel="00000000" w:rsidP="00000000" w:rsidRDefault="00000000" w:rsidRPr="00000000" w14:paraId="00000022">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3">
            <w:pPr>
              <w:rPr/>
            </w:pPr>
            <w:r w:rsidDel="00000000" w:rsidR="00000000" w:rsidRPr="00000000">
              <w:rPr>
                <w:rtl w:val="0"/>
              </w:rPr>
              <w:t xml:space="preserve">66</w:t>
            </w:r>
          </w:p>
        </w:tc>
        <w:tc>
          <w:tcPr>
            <w:shd w:fill="ffffcc" w:val="clear"/>
          </w:tcPr>
          <w:p w:rsidR="00000000" w:rsidDel="00000000" w:rsidP="00000000" w:rsidRDefault="00000000" w:rsidRPr="00000000" w14:paraId="00000024">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5">
            <w:pPr>
              <w:rPr/>
            </w:pPr>
            <w:r w:rsidDel="00000000" w:rsidR="00000000" w:rsidRPr="00000000">
              <w:rPr>
                <w:rtl w:val="0"/>
              </w:rPr>
              <w:t xml:space="preserve">33</w:t>
            </w:r>
          </w:p>
        </w:tc>
        <w:tc>
          <w:tcPr>
            <w:shd w:fill="ffffcc" w:val="clear"/>
          </w:tcPr>
          <w:p w:rsidR="00000000" w:rsidDel="00000000" w:rsidP="00000000" w:rsidRDefault="00000000" w:rsidRPr="00000000" w14:paraId="00000026">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7">
            <w:pPr>
              <w:rPr/>
            </w:pPr>
            <w:r w:rsidDel="00000000" w:rsidR="00000000" w:rsidRPr="00000000">
              <w:rPr>
                <w:rtl w:val="0"/>
              </w:rPr>
              <w:t xml:space="preserve">0</w:t>
            </w:r>
          </w:p>
        </w:tc>
        <w:tc>
          <w:tcPr>
            <w:shd w:fill="ffffcc" w:val="clear"/>
          </w:tcPr>
          <w:p w:rsidR="00000000" w:rsidDel="00000000" w:rsidP="00000000" w:rsidRDefault="00000000" w:rsidRPr="00000000" w14:paraId="00000028">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tbl>
      <w:tblPr>
        <w:tblStyle w:val="Table2"/>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7088"/>
        <w:tblGridChange w:id="0">
          <w:tblGrid>
            <w:gridCol w:w="2410"/>
            <w:gridCol w:w="7088"/>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2F">
            <w:pPr>
              <w:rPr>
                <w:b w:val="1"/>
              </w:rPr>
            </w:pPr>
            <w:r w:rsidDel="00000000" w:rsidR="00000000" w:rsidRPr="00000000">
              <w:rPr>
                <w:b w:val="1"/>
                <w:rtl w:val="0"/>
              </w:rPr>
              <w:t xml:space="preserve">Q2</w:t>
            </w:r>
            <w:r w:rsidDel="00000000" w:rsidR="00000000" w:rsidRPr="00000000">
              <w:rPr>
                <w:b w:val="1"/>
                <w:color w:val="ff0000"/>
                <w:rtl w:val="0"/>
              </w:rPr>
              <w:t xml:space="preserve"> </w:t>
            </w:r>
            <w:r w:rsidDel="00000000" w:rsidR="00000000" w:rsidRPr="00000000">
              <w:rPr>
                <w:b w:val="1"/>
                <w:rtl w:val="0"/>
              </w:rPr>
              <w:t xml:space="preserve">- EA Subcontractor Performance and Relationship Management</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1">
            <w:pPr>
              <w:rPr/>
            </w:pPr>
            <w:r w:rsidDel="00000000" w:rsidR="00000000" w:rsidRPr="00000000">
              <w:rPr>
                <w:rtl w:val="0"/>
              </w:rPr>
              <w:t xml:space="preserve">Requirement</w:t>
            </w:r>
          </w:p>
          <w:p w:rsidR="00000000" w:rsidDel="00000000" w:rsidP="00000000" w:rsidRDefault="00000000" w:rsidRPr="00000000" w14:paraId="00000032">
            <w:pPr>
              <w:rPr>
                <w:color w:val="000000"/>
              </w:rPr>
            </w:pPr>
            <w:r w:rsidDel="00000000" w:rsidR="00000000" w:rsidRPr="00000000">
              <w:rPr>
                <w:rtl w:val="0"/>
              </w:rPr>
              <w:t xml:space="preserve">CCS requires bidders to demonstrate your</w:t>
            </w:r>
            <w:r w:rsidDel="00000000" w:rsidR="00000000" w:rsidRPr="00000000">
              <w:rPr>
                <w:color w:val="ff0000"/>
                <w:rtl w:val="0"/>
              </w:rPr>
              <w:t xml:space="preserve"> </w:t>
            </w:r>
            <w:r w:rsidDel="00000000" w:rsidR="00000000" w:rsidRPr="00000000">
              <w:rPr>
                <w:color w:val="000000"/>
                <w:rtl w:val="0"/>
              </w:rPr>
              <w:t xml:space="preserve">organisations ability manage subcontractor performance and relationship management to ensure an effective delivery model for buyers in Managed Enforcement.</w:t>
            </w:r>
          </w:p>
          <w:p w:rsidR="00000000" w:rsidDel="00000000" w:rsidP="00000000" w:rsidRDefault="00000000" w:rsidRPr="00000000" w14:paraId="00000033">
            <w:pPr>
              <w:rPr>
                <w:color w:val="000000"/>
              </w:rPr>
            </w:pPr>
            <w:r w:rsidDel="00000000" w:rsidR="00000000" w:rsidRPr="00000000">
              <w:rPr>
                <w:rtl w:val="0"/>
              </w:rPr>
              <w:t xml:space="preserve">Bidders </w:t>
            </w:r>
            <w:r w:rsidDel="00000000" w:rsidR="00000000" w:rsidRPr="00000000">
              <w:rPr>
                <w:color w:val="000000"/>
                <w:rtl w:val="0"/>
              </w:rPr>
              <w:t xml:space="preserve">will detail the </w:t>
            </w:r>
            <w:r w:rsidDel="00000000" w:rsidR="00000000" w:rsidRPr="00000000">
              <w:rPr>
                <w:rtl w:val="0"/>
              </w:rPr>
              <w:t xml:space="preserve">Enforcement</w:t>
            </w:r>
            <w:r w:rsidDel="00000000" w:rsidR="00000000" w:rsidRPr="00000000">
              <w:rPr>
                <w:color w:val="000000"/>
                <w:rtl w:val="0"/>
              </w:rPr>
              <w:t xml:space="preserve"> Agency Subcontractor Performance Processes along with your approach to contract, commercial and relationship management along with the personnel involved and their relevant experience with the management of EA subcontractors to fulfil the standards specified in 1.8, 1.21 and Annex 1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I</w:t>
            </w:r>
            <w:r w:rsidDel="00000000" w:rsidR="00000000" w:rsidRPr="00000000">
              <w:rPr>
                <w:color w:val="000000"/>
                <w:rtl w:val="0"/>
              </w:rPr>
              <w:t xml:space="preserve"> of the Managed Enforcement Services </w:t>
            </w:r>
            <w:r w:rsidDel="00000000" w:rsidR="00000000" w:rsidRPr="00000000">
              <w:rPr>
                <w:rtl w:val="0"/>
              </w:rPr>
              <w:t xml:space="preserve">S</w:t>
            </w:r>
            <w:r w:rsidDel="00000000" w:rsidR="00000000" w:rsidRPr="00000000">
              <w:rPr>
                <w:color w:val="000000"/>
                <w:rtl w:val="0"/>
              </w:rPr>
              <w:t xml:space="preserve">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35">
            <w:pPr>
              <w:rPr/>
            </w:pPr>
            <w:r w:rsidDel="00000000" w:rsidR="00000000" w:rsidRPr="00000000">
              <w:rPr>
                <w:rtl w:val="0"/>
              </w:rPr>
              <w:t xml:space="preserve">Response guidance: </w:t>
            </w:r>
          </w:p>
          <w:p w:rsidR="00000000" w:rsidDel="00000000" w:rsidP="00000000" w:rsidRDefault="00000000" w:rsidRPr="00000000" w14:paraId="00000036">
            <w:pPr>
              <w:rPr/>
            </w:pPr>
            <w:r w:rsidDel="00000000" w:rsidR="00000000" w:rsidRPr="00000000">
              <w:rPr>
                <w:rtl w:val="0"/>
              </w:rPr>
              <w:t xml:space="preserve">All bidders submitting a bid for Lot 20 must answer this question.</w:t>
            </w:r>
          </w:p>
          <w:p w:rsidR="00000000" w:rsidDel="00000000" w:rsidP="00000000" w:rsidRDefault="00000000" w:rsidRPr="00000000" w14:paraId="00000037">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38">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3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EA subcontractor performance management processes and how these are maintained and reviewed in line with the requirements in 1.8 and 1.21 in Schedule 1 - Annex I Managed Enforcement Services Specification.</w:t>
            </w:r>
          </w:p>
          <w:p w:rsidR="00000000" w:rsidDel="00000000" w:rsidP="00000000" w:rsidRDefault="00000000" w:rsidRPr="00000000" w14:paraId="0000003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approach to contract, commercial and relationship management with Buyers and subcontractors will meet the requirements in Annex 1 of Schedule 1 - Annex I Managed Enforcement Services Specification. </w:t>
            </w:r>
          </w:p>
          <w:p w:rsidR="00000000" w:rsidDel="00000000" w:rsidP="00000000" w:rsidRDefault="00000000" w:rsidRPr="00000000" w14:paraId="0000003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compliance stage process and how you maximise collections at the compliance stage including the data, information and tools utilised to do so and what you will do to ensure continuous improvement in the volume of Customers engaged and debts resolved at the Compliance Stage as per the specification points 1.45, 1.48 in Schedule 1 - Annex I Managed Enforcement Services Specification. </w:t>
            </w:r>
          </w:p>
          <w:p w:rsidR="00000000" w:rsidDel="00000000" w:rsidP="00000000" w:rsidRDefault="00000000" w:rsidRPr="00000000" w14:paraId="0000003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attract and retain the most suitable Enforcement Agencies on your panel as specified in 1.6, 1.7,1.9,1.17, 1.19,1.35-1.37 and 1.42 of Schedule 1 - Annex I of the Managed Enforcement Services Specification</w:t>
            </w:r>
          </w:p>
          <w:p w:rsidR="00000000" w:rsidDel="00000000" w:rsidP="00000000" w:rsidRDefault="00000000" w:rsidRPr="00000000" w14:paraId="0000003D">
            <w:pPr>
              <w:rPr/>
            </w:pPr>
            <w:r w:rsidDel="00000000" w:rsidR="00000000" w:rsidRPr="00000000">
              <w:rPr>
                <w:rtl w:val="0"/>
              </w:rPr>
              <w:t xml:space="preserve">Your response should be limited to, and focused on, each of the component parts of the question posed (a to d). You must not make generalised statements or give irrelevant information. </w:t>
            </w:r>
          </w:p>
          <w:p w:rsidR="00000000" w:rsidDel="00000000" w:rsidP="00000000" w:rsidRDefault="00000000" w:rsidRPr="00000000" w14:paraId="0000003E">
            <w:pPr>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Maximum character count – 14,000 characters including spaces and punctuation. </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57" w:right="57" w:firstLine="0"/>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p>
          <w:p w:rsidR="00000000" w:rsidDel="00000000" w:rsidP="00000000" w:rsidRDefault="00000000" w:rsidRPr="00000000" w14:paraId="00000042">
            <w:pPr>
              <w:rPr>
                <w:b w:val="1"/>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44">
            <w:pPr>
              <w:spacing w:line="240" w:lineRule="auto"/>
              <w:ind w:left="57" w:right="57" w:firstLine="0"/>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45">
            <w:pPr>
              <w:spacing w:line="240" w:lineRule="auto"/>
              <w:ind w:left="57" w:right="57" w:firstLine="0"/>
              <w:rPr>
                <w:b w:val="1"/>
              </w:rPr>
            </w:pPr>
            <w:r w:rsidDel="00000000" w:rsidR="00000000" w:rsidRPr="00000000">
              <w:rPr>
                <w:b w:val="1"/>
                <w:rtl w:val="0"/>
              </w:rPr>
              <w:t xml:space="preserve">Evaluation criteria</w:t>
            </w:r>
          </w:p>
        </w:tc>
      </w:tr>
      <w:tr>
        <w:trPr>
          <w:trHeight w:val="737" w:hRule="atLeast"/>
          <w:tblHeader w:val="0"/>
        </w:trPr>
        <w:tc>
          <w:tcPr>
            <w:shd w:fill="ffffcc" w:val="clear"/>
            <w:vAlign w:val="center"/>
          </w:tcPr>
          <w:p w:rsidR="00000000" w:rsidDel="00000000" w:rsidP="00000000" w:rsidRDefault="00000000" w:rsidRPr="00000000" w14:paraId="00000046">
            <w:pPr>
              <w:rPr/>
            </w:pPr>
            <w:r w:rsidDel="00000000" w:rsidR="00000000" w:rsidRPr="00000000">
              <w:rPr>
                <w:rtl w:val="0"/>
              </w:rPr>
              <w:t xml:space="preserve">100</w:t>
            </w:r>
          </w:p>
        </w:tc>
        <w:tc>
          <w:tcPr>
            <w:shd w:fill="ffffcc" w:val="clear"/>
            <w:vAlign w:val="center"/>
          </w:tcPr>
          <w:p w:rsidR="00000000" w:rsidDel="00000000" w:rsidP="00000000" w:rsidRDefault="00000000" w:rsidRPr="00000000" w14:paraId="00000047">
            <w:pPr>
              <w:rPr/>
            </w:pPr>
            <w:r w:rsidDel="00000000" w:rsidR="00000000" w:rsidRPr="00000000">
              <w:rPr>
                <w:rtl w:val="0"/>
              </w:rPr>
              <w:t xml:space="preserve">The bidder’s response fully addresses all 4 of the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8">
            <w:pPr>
              <w:rPr/>
            </w:pPr>
            <w:r w:rsidDel="00000000" w:rsidR="00000000" w:rsidRPr="00000000">
              <w:rPr>
                <w:rtl w:val="0"/>
              </w:rPr>
              <w:t xml:space="preserve">75</w:t>
            </w:r>
          </w:p>
        </w:tc>
        <w:tc>
          <w:tcPr>
            <w:shd w:fill="ffffcc" w:val="clear"/>
            <w:vAlign w:val="center"/>
          </w:tcPr>
          <w:p w:rsidR="00000000" w:rsidDel="00000000" w:rsidP="00000000" w:rsidRDefault="00000000" w:rsidRPr="00000000" w14:paraId="00000049">
            <w:pPr>
              <w:rPr/>
            </w:pPr>
            <w:r w:rsidDel="00000000" w:rsidR="00000000" w:rsidRPr="00000000">
              <w:rPr>
                <w:rtl w:val="0"/>
              </w:rPr>
              <w:t xml:space="preserve">The bidder’s response fully addresses 3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A">
            <w:pPr>
              <w:rPr/>
            </w:pPr>
            <w:r w:rsidDel="00000000" w:rsidR="00000000" w:rsidRPr="00000000">
              <w:rPr>
                <w:rtl w:val="0"/>
              </w:rPr>
              <w:t xml:space="preserve">50</w:t>
            </w:r>
          </w:p>
        </w:tc>
        <w:tc>
          <w:tcPr>
            <w:shd w:fill="ffffcc" w:val="clear"/>
            <w:vAlign w:val="center"/>
          </w:tcPr>
          <w:p w:rsidR="00000000" w:rsidDel="00000000" w:rsidP="00000000" w:rsidRDefault="00000000" w:rsidRPr="00000000" w14:paraId="0000004B">
            <w:pPr>
              <w:rPr/>
            </w:pPr>
            <w:r w:rsidDel="00000000" w:rsidR="00000000" w:rsidRPr="00000000">
              <w:rPr>
                <w:rtl w:val="0"/>
              </w:rPr>
              <w:t xml:space="preserve">The bidder’s response fully addresses 2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C">
            <w:pPr>
              <w:rPr/>
            </w:pPr>
            <w:r w:rsidDel="00000000" w:rsidR="00000000" w:rsidRPr="00000000">
              <w:rPr>
                <w:rtl w:val="0"/>
              </w:rPr>
              <w:t xml:space="preserve">25</w:t>
            </w:r>
          </w:p>
        </w:tc>
        <w:tc>
          <w:tcPr>
            <w:shd w:fill="ffffcc" w:val="clear"/>
            <w:vAlign w:val="center"/>
          </w:tcPr>
          <w:p w:rsidR="00000000" w:rsidDel="00000000" w:rsidP="00000000" w:rsidRDefault="00000000" w:rsidRPr="00000000" w14:paraId="0000004D">
            <w:pPr>
              <w:rPr/>
            </w:pPr>
            <w:r w:rsidDel="00000000" w:rsidR="00000000" w:rsidRPr="00000000">
              <w:rPr>
                <w:rtl w:val="0"/>
              </w:rPr>
              <w:t xml:space="preserve">The bidder’s response fully addresses 1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E">
            <w:pPr>
              <w:rPr/>
            </w:pPr>
            <w:r w:rsidDel="00000000" w:rsidR="00000000" w:rsidRPr="00000000">
              <w:rPr>
                <w:rtl w:val="0"/>
              </w:rPr>
              <w:t xml:space="preserve">0</w:t>
            </w:r>
          </w:p>
        </w:tc>
        <w:tc>
          <w:tcPr>
            <w:shd w:fill="ffffcc" w:val="clear"/>
          </w:tcPr>
          <w:p w:rsidR="00000000" w:rsidDel="00000000" w:rsidP="00000000" w:rsidRDefault="00000000" w:rsidRPr="00000000" w14:paraId="0000004F">
            <w:pPr>
              <w:rPr/>
            </w:pPr>
            <w:r w:rsidDel="00000000" w:rsidR="00000000" w:rsidRPr="00000000">
              <w:rPr>
                <w:rtl w:val="0"/>
              </w:rPr>
              <w:t xml:space="preserve">The bidder’s response has not fully addressed any of the 4 component parts (a to d) of the response guidance above.</w:t>
            </w:r>
          </w:p>
          <w:p w:rsidR="00000000" w:rsidDel="00000000" w:rsidP="00000000" w:rsidRDefault="00000000" w:rsidRPr="00000000" w14:paraId="00000050">
            <w:pPr>
              <w:rPr/>
            </w:pPr>
            <w:r w:rsidDel="00000000" w:rsidR="00000000" w:rsidRPr="00000000">
              <w:rPr>
                <w:rtl w:val="0"/>
              </w:rPr>
              <w:t xml:space="preserve">OR</w:t>
            </w:r>
          </w:p>
          <w:p w:rsidR="00000000" w:rsidDel="00000000" w:rsidP="00000000" w:rsidRDefault="00000000" w:rsidRPr="00000000" w14:paraId="00000051">
            <w:pPr>
              <w:rPr/>
            </w:pPr>
            <w:r w:rsidDel="00000000" w:rsidR="00000000" w:rsidRPr="00000000">
              <w:rPr>
                <w:rtl w:val="0"/>
              </w:rPr>
              <w:t xml:space="preserve">A response has not been provided to this question.</w:t>
            </w:r>
          </w:p>
        </w:tc>
      </w:tr>
    </w:tbl>
    <w:p w:rsidR="00000000" w:rsidDel="00000000" w:rsidP="00000000" w:rsidRDefault="00000000" w:rsidRPr="00000000" w14:paraId="00000052">
      <w:pPr>
        <w:rPr/>
      </w:pPr>
      <w:r w:rsidDel="00000000" w:rsidR="00000000" w:rsidRPr="00000000">
        <w:rPr>
          <w:rtl w:val="0"/>
        </w:rPr>
      </w:r>
    </w:p>
    <w:tbl>
      <w:tblPr>
        <w:tblStyle w:val="Table3"/>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7088"/>
        <w:tblGridChange w:id="0">
          <w:tblGrid>
            <w:gridCol w:w="2410"/>
            <w:gridCol w:w="7088"/>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53">
            <w:pPr>
              <w:rPr/>
            </w:pPr>
            <w:r w:rsidDel="00000000" w:rsidR="00000000" w:rsidRPr="00000000">
              <w:rPr>
                <w:rtl w:val="0"/>
              </w:rPr>
              <w:t xml:space="preserve">Question Q3 - User Platforms, Service Delivery and Customer Satisfaction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5">
            <w:pPr>
              <w:rPr/>
            </w:pPr>
            <w:r w:rsidDel="00000000" w:rsidR="00000000" w:rsidRPr="00000000">
              <w:rPr>
                <w:rtl w:val="0"/>
              </w:rPr>
              <w:t xml:space="preserve">Requirement</w:t>
            </w:r>
          </w:p>
          <w:p w:rsidR="00000000" w:rsidDel="00000000" w:rsidP="00000000" w:rsidRDefault="00000000" w:rsidRPr="00000000" w14:paraId="00000056">
            <w:pPr>
              <w:rPr/>
            </w:pPr>
            <w:r w:rsidDel="00000000" w:rsidR="00000000" w:rsidRPr="00000000">
              <w:rPr>
                <w:rtl w:val="0"/>
              </w:rPr>
              <w:t xml:space="preserve">CCS requires bidders</w:t>
            </w:r>
            <w:r w:rsidDel="00000000" w:rsidR="00000000" w:rsidRPr="00000000">
              <w:rPr>
                <w:color w:val="ff0000"/>
                <w:rtl w:val="0"/>
              </w:rPr>
              <w:t xml:space="preserve"> </w:t>
            </w:r>
            <w:r w:rsidDel="00000000" w:rsidR="00000000" w:rsidRPr="00000000">
              <w:rPr>
                <w:rtl w:val="0"/>
              </w:rPr>
              <w:t xml:space="preserve">to demonstrate your organisations systems, people, processes, Subcontractors and platforms that you will use to ensure effective integration and service delivery to Buyers. </w:t>
            </w:r>
          </w:p>
          <w:p w:rsidR="00000000" w:rsidDel="00000000" w:rsidP="00000000" w:rsidRDefault="00000000" w:rsidRPr="00000000" w14:paraId="00000057">
            <w:pPr>
              <w:rPr/>
            </w:pPr>
            <w:r w:rsidDel="00000000" w:rsidR="00000000" w:rsidRPr="00000000">
              <w:rPr>
                <w:rtl w:val="0"/>
              </w:rPr>
              <w:t xml:space="preserve">The response must demonstrate how you will manage services effectively. Your response should include how the user platforms will be used in delivering services as detailed in Section A, Section F, Section G and Section H of Annex I. The response should also demonstrate your customer satisfaction processes as detailed in 1.15,1.36, 143-148,151, 1.77 - 1.92, 2.1, 2.26 and 2.302 in Schedule 1 - Annex I Managed Enforcement Services Specification including, appropriate geographic coverage, recruitment and retention of Enforcement Agents as detailed in 1.35 and 1.126-1.137.</w:t>
            </w:r>
          </w:p>
          <w:p w:rsidR="00000000" w:rsidDel="00000000" w:rsidP="00000000" w:rsidRDefault="00000000" w:rsidRPr="00000000" w14:paraId="00000058">
            <w:pPr>
              <w:rPr>
                <w:color w:val="000000"/>
              </w:rPr>
            </w:pPr>
            <w:r w:rsidDel="00000000" w:rsidR="00000000" w:rsidRPr="00000000">
              <w:rPr>
                <w:rtl w:val="0"/>
              </w:rPr>
              <w:t xml:space="preserve">Bidders must demonstrate how will you ensure the allocation the optimal level of quality resources including enforcement agents to deliver Buyer requirements at the most appropriate times and how you will demonstrate that Buyers are not deprioritised in comparison to any other contract you or you EA Subcontractors have as detailed in 6.9, 1.126 - 1.129 of Schedule 1 - Annex I Managed Enforcement Services 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5A">
            <w:pPr>
              <w:rPr/>
            </w:pPr>
            <w:r w:rsidDel="00000000" w:rsidR="00000000" w:rsidRPr="00000000">
              <w:rPr>
                <w:rtl w:val="0"/>
              </w:rPr>
              <w:t xml:space="preserve">Response guidance </w:t>
            </w:r>
          </w:p>
          <w:p w:rsidR="00000000" w:rsidDel="00000000" w:rsidP="00000000" w:rsidRDefault="00000000" w:rsidRPr="00000000" w14:paraId="0000005B">
            <w:pPr>
              <w:rPr/>
            </w:pPr>
            <w:r w:rsidDel="00000000" w:rsidR="00000000" w:rsidRPr="00000000">
              <w:rPr>
                <w:rtl w:val="0"/>
              </w:rPr>
              <w:t xml:space="preserve">All bidders submitting a bid for Lot 20 must answer this question.</w:t>
            </w:r>
          </w:p>
          <w:p w:rsidR="00000000" w:rsidDel="00000000" w:rsidP="00000000" w:rsidRDefault="00000000" w:rsidRPr="00000000" w14:paraId="0000005C">
            <w:pPr>
              <w:rPr/>
            </w:pPr>
            <w:r w:rsidDel="00000000" w:rsidR="00000000" w:rsidRPr="00000000">
              <w:rPr>
                <w:rtl w:val="0"/>
              </w:rPr>
              <w:t xml:space="preserve">You must insert your response into the text fields and include attachments in the eSourcing suite.</w:t>
            </w:r>
          </w:p>
          <w:p w:rsidR="00000000" w:rsidDel="00000000" w:rsidP="00000000" w:rsidRDefault="00000000" w:rsidRPr="00000000" w14:paraId="0000005D">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5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systems, people, processes, Subcontractors and platforms that you will use to ensure effective integration and service delivery to Buyers. Describe how you will manage services effectively as detailed in Section A, Section F, Section G and Section H of Schedule 1 - Annex I Managed Enforcement Services Specification.</w:t>
            </w:r>
          </w:p>
          <w:p w:rsidR="00000000" w:rsidDel="00000000" w:rsidP="00000000" w:rsidRDefault="00000000" w:rsidRPr="00000000" w14:paraId="0000005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quality of services, including details of how any proposed mobile cameras and sound recording equipment would be used in delivering the services as detailed in 2.24 of Schedule 1 - Annex I Managed Enforcement Services Specification.</w:t>
            </w:r>
          </w:p>
          <w:p w:rsidR="00000000" w:rsidDel="00000000" w:rsidP="00000000" w:rsidRDefault="00000000" w:rsidRPr="00000000" w14:paraId="0000006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appropriate geographic coverage including your ability to recruit and retain Enforcement agents with the consideration of customer satisfaction and fair treatment of customers as detailed in 1.15, 1.36, 143-148, 151, 1.77 - 1.92, 2.1, 2.26, 2.302 and 1.35 Schedule 1 - Annex I Managed Enforcement Services Specification.</w:t>
            </w:r>
          </w:p>
          <w:p w:rsidR="00000000" w:rsidDel="00000000" w:rsidP="00000000" w:rsidRDefault="00000000" w:rsidRPr="00000000" w14:paraId="0000006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will you ensure the allocation of the optimal level of quality resources including enforcement agents to deliver Buyer requirements at the most appropriate times and how you will demonstrate that Buyers are not deprioritised in comparison to any other contract you or you EA Subcontractors have.</w:t>
            </w:r>
          </w:p>
          <w:p w:rsidR="00000000" w:rsidDel="00000000" w:rsidP="00000000" w:rsidRDefault="00000000" w:rsidRPr="00000000" w14:paraId="00000062">
            <w:pPr>
              <w:rPr/>
            </w:pPr>
            <w:r w:rsidDel="00000000" w:rsidR="00000000" w:rsidRPr="00000000">
              <w:rPr>
                <w:rtl w:val="0"/>
              </w:rPr>
              <w:t xml:space="preserve">Your response should be limited to, and focused on, each of the component parts of the question posed (a to d). You must not make generalised statements or give irrelevant information. </w:t>
            </w:r>
          </w:p>
          <w:p w:rsidR="00000000" w:rsidDel="00000000" w:rsidP="00000000" w:rsidRDefault="00000000" w:rsidRPr="00000000" w14:paraId="00000063">
            <w:pPr>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Maximum character count – 6,000 characters including spaces and punctuation. </w:t>
            </w:r>
          </w:p>
          <w:p w:rsidR="00000000" w:rsidDel="00000000" w:rsidP="00000000" w:rsidRDefault="00000000" w:rsidRPr="00000000" w14:paraId="00000065">
            <w:pPr>
              <w:rPr/>
            </w:pPr>
            <w:r w:rsidDel="00000000" w:rsidR="00000000" w:rsidRPr="00000000">
              <w:rPr>
                <w:rtl w:val="0"/>
              </w:rPr>
              <w:t xml:space="preserve">You must not exceed the character count within the e-Sourcing suite. Responses must include spaces between characters.</w:t>
            </w:r>
          </w:p>
          <w:p w:rsidR="00000000" w:rsidDel="00000000" w:rsidP="00000000" w:rsidRDefault="00000000" w:rsidRPr="00000000" w14:paraId="00000066">
            <w:pPr>
              <w:rPr/>
            </w:pPr>
            <w:r w:rsidDel="00000000" w:rsidR="00000000" w:rsidRPr="00000000">
              <w:rPr>
                <w:rtl w:val="0"/>
              </w:rPr>
              <w:t xml:space="preserve">You are required to insert your response to this question in the technical envelope in boxes provided, each box has a character count of 2,000 characters.</w:t>
            </w:r>
          </w:p>
          <w:p w:rsidR="00000000" w:rsidDel="00000000" w:rsidP="00000000" w:rsidRDefault="00000000" w:rsidRPr="00000000" w14:paraId="00000067">
            <w:pPr>
              <w:rPr>
                <w:color w:val="ff0000"/>
              </w:rPr>
            </w:pPr>
            <w:r w:rsidDel="00000000" w:rsidR="00000000" w:rsidRPr="00000000">
              <w:rPr>
                <w:rtl w:val="0"/>
              </w:rPr>
            </w:r>
          </w:p>
          <w:p w:rsidR="00000000" w:rsidDel="00000000" w:rsidP="00000000" w:rsidRDefault="00000000" w:rsidRPr="00000000" w14:paraId="00000068">
            <w:pPr>
              <w:rPr>
                <w:b w:val="1"/>
                <w:color w:val="ff0000"/>
              </w:rPr>
            </w:pPr>
            <w:r w:rsidDel="00000000" w:rsidR="00000000" w:rsidRPr="00000000">
              <w:rPr>
                <w:color w:val="ff0000"/>
                <w:rtl w:val="0"/>
              </w:rPr>
              <w:t xml:space="preserve"> </w:t>
            </w:r>
            <w:r w:rsidDel="00000000" w:rsidR="00000000" w:rsidRPr="00000000">
              <w:rPr>
                <w:rtl w:val="0"/>
              </w:rPr>
            </w:r>
          </w:p>
        </w:tc>
      </w:tr>
      <w:tr>
        <w:trPr>
          <w:tblHeader w:val="0"/>
        </w:trPr>
        <w:tc>
          <w:tcPr>
            <w:shd w:fill="ffffcc" w:val="clear"/>
          </w:tcPr>
          <w:p w:rsidR="00000000" w:rsidDel="00000000" w:rsidP="00000000" w:rsidRDefault="00000000" w:rsidRPr="00000000" w14:paraId="0000006A">
            <w:pPr>
              <w:spacing w:line="240" w:lineRule="auto"/>
              <w:ind w:left="57" w:right="57" w:firstLine="0"/>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6B">
            <w:pPr>
              <w:spacing w:line="240" w:lineRule="auto"/>
              <w:ind w:left="57" w:right="57" w:firstLine="0"/>
              <w:rPr>
                <w:b w:val="1"/>
              </w:rPr>
            </w:pPr>
            <w:r w:rsidDel="00000000" w:rsidR="00000000" w:rsidRPr="00000000">
              <w:rPr>
                <w:b w:val="1"/>
                <w:rtl w:val="0"/>
              </w:rPr>
              <w:t xml:space="preserve">Evaluation criteria</w:t>
            </w:r>
          </w:p>
        </w:tc>
      </w:tr>
      <w:tr>
        <w:trPr>
          <w:trHeight w:val="737" w:hRule="atLeast"/>
          <w:tblHeader w:val="0"/>
        </w:trPr>
        <w:tc>
          <w:tcPr>
            <w:shd w:fill="ffffcc" w:val="clear"/>
            <w:vAlign w:val="center"/>
          </w:tcPr>
          <w:p w:rsidR="00000000" w:rsidDel="00000000" w:rsidP="00000000" w:rsidRDefault="00000000" w:rsidRPr="00000000" w14:paraId="0000006C">
            <w:pPr>
              <w:rPr/>
            </w:pPr>
            <w:r w:rsidDel="00000000" w:rsidR="00000000" w:rsidRPr="00000000">
              <w:rPr>
                <w:rtl w:val="0"/>
              </w:rPr>
              <w:t xml:space="preserve">100</w:t>
            </w:r>
          </w:p>
        </w:tc>
        <w:tc>
          <w:tcPr>
            <w:shd w:fill="ffffcc" w:val="clear"/>
            <w:vAlign w:val="center"/>
          </w:tcPr>
          <w:p w:rsidR="00000000" w:rsidDel="00000000" w:rsidP="00000000" w:rsidRDefault="00000000" w:rsidRPr="00000000" w14:paraId="0000006D">
            <w:pPr>
              <w:rPr/>
            </w:pPr>
            <w:r w:rsidDel="00000000" w:rsidR="00000000" w:rsidRPr="00000000">
              <w:rPr>
                <w:rtl w:val="0"/>
              </w:rPr>
              <w:t xml:space="preserve">The bidder’s response fully addresses all 4 of the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6E">
            <w:pPr>
              <w:rPr/>
            </w:pPr>
            <w:r w:rsidDel="00000000" w:rsidR="00000000" w:rsidRPr="00000000">
              <w:rPr>
                <w:rtl w:val="0"/>
              </w:rPr>
              <w:t xml:space="preserve">75</w:t>
            </w:r>
          </w:p>
        </w:tc>
        <w:tc>
          <w:tcPr>
            <w:shd w:fill="ffffcc" w:val="clear"/>
            <w:vAlign w:val="center"/>
          </w:tcPr>
          <w:p w:rsidR="00000000" w:rsidDel="00000000" w:rsidP="00000000" w:rsidRDefault="00000000" w:rsidRPr="00000000" w14:paraId="0000006F">
            <w:pPr>
              <w:rPr/>
            </w:pPr>
            <w:r w:rsidDel="00000000" w:rsidR="00000000" w:rsidRPr="00000000">
              <w:rPr>
                <w:rtl w:val="0"/>
              </w:rPr>
              <w:t xml:space="preserve">The bidder’s response fully addresses 3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70">
            <w:pPr>
              <w:rPr/>
            </w:pPr>
            <w:r w:rsidDel="00000000" w:rsidR="00000000" w:rsidRPr="00000000">
              <w:rPr>
                <w:rtl w:val="0"/>
              </w:rPr>
              <w:t xml:space="preserve">50</w:t>
            </w:r>
          </w:p>
        </w:tc>
        <w:tc>
          <w:tcPr>
            <w:shd w:fill="ffffcc" w:val="clear"/>
            <w:vAlign w:val="center"/>
          </w:tcPr>
          <w:p w:rsidR="00000000" w:rsidDel="00000000" w:rsidP="00000000" w:rsidRDefault="00000000" w:rsidRPr="00000000" w14:paraId="00000071">
            <w:pPr>
              <w:rPr/>
            </w:pPr>
            <w:r w:rsidDel="00000000" w:rsidR="00000000" w:rsidRPr="00000000">
              <w:rPr>
                <w:rtl w:val="0"/>
              </w:rPr>
              <w:t xml:space="preserve">The bidder’s response fully addresses 2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72">
            <w:pPr>
              <w:rPr/>
            </w:pPr>
            <w:r w:rsidDel="00000000" w:rsidR="00000000" w:rsidRPr="00000000">
              <w:rPr>
                <w:rtl w:val="0"/>
              </w:rPr>
              <w:t xml:space="preserve">25</w:t>
            </w:r>
          </w:p>
        </w:tc>
        <w:tc>
          <w:tcPr>
            <w:shd w:fill="ffffcc" w:val="clear"/>
            <w:vAlign w:val="center"/>
          </w:tcPr>
          <w:p w:rsidR="00000000" w:rsidDel="00000000" w:rsidP="00000000" w:rsidRDefault="00000000" w:rsidRPr="00000000" w14:paraId="00000073">
            <w:pPr>
              <w:rPr/>
            </w:pPr>
            <w:r w:rsidDel="00000000" w:rsidR="00000000" w:rsidRPr="00000000">
              <w:rPr>
                <w:rtl w:val="0"/>
              </w:rPr>
              <w:t xml:space="preserve">The bidder’s response fully addresses 1 of the 4 component parts (a to d) of the response guidance above.</w:t>
            </w:r>
          </w:p>
        </w:tc>
      </w:tr>
      <w:tr>
        <w:trPr>
          <w:tblHeader w:val="0"/>
        </w:trPr>
        <w:tc>
          <w:tcPr>
            <w:shd w:fill="ffffcc" w:val="clear"/>
            <w:vAlign w:val="center"/>
          </w:tcPr>
          <w:p w:rsidR="00000000" w:rsidDel="00000000" w:rsidP="00000000" w:rsidRDefault="00000000" w:rsidRPr="00000000" w14:paraId="00000074">
            <w:pPr>
              <w:rPr/>
            </w:pPr>
            <w:r w:rsidDel="00000000" w:rsidR="00000000" w:rsidRPr="00000000">
              <w:rPr>
                <w:rtl w:val="0"/>
              </w:rPr>
              <w:t xml:space="preserve">0</w:t>
            </w:r>
          </w:p>
        </w:tc>
        <w:tc>
          <w:tcPr>
            <w:shd w:fill="ffffcc" w:val="clear"/>
          </w:tcPr>
          <w:p w:rsidR="00000000" w:rsidDel="00000000" w:rsidP="00000000" w:rsidRDefault="00000000" w:rsidRPr="00000000" w14:paraId="00000075">
            <w:pPr>
              <w:rPr/>
            </w:pPr>
            <w:r w:rsidDel="00000000" w:rsidR="00000000" w:rsidRPr="00000000">
              <w:rPr>
                <w:rtl w:val="0"/>
              </w:rPr>
              <w:t xml:space="preserve">The bidder’s response has not fully addressed any of the 4 component parts (a to d) of the response guidance above.</w:t>
            </w:r>
          </w:p>
          <w:p w:rsidR="00000000" w:rsidDel="00000000" w:rsidP="00000000" w:rsidRDefault="00000000" w:rsidRPr="00000000" w14:paraId="00000076">
            <w:pPr>
              <w:rPr/>
            </w:pPr>
            <w:r w:rsidDel="00000000" w:rsidR="00000000" w:rsidRPr="00000000">
              <w:rPr>
                <w:rtl w:val="0"/>
              </w:rPr>
              <w:t xml:space="preserve">OR</w:t>
            </w:r>
          </w:p>
          <w:p w:rsidR="00000000" w:rsidDel="00000000" w:rsidP="00000000" w:rsidRDefault="00000000" w:rsidRPr="00000000" w14:paraId="00000077">
            <w:pPr>
              <w:rPr/>
            </w:pPr>
            <w:r w:rsidDel="00000000" w:rsidR="00000000" w:rsidRPr="00000000">
              <w:rPr>
                <w:rtl w:val="0"/>
              </w:rPr>
              <w:t xml:space="preserve">A response has not been provided to this question.</w:t>
            </w:r>
          </w:p>
        </w:tc>
      </w:tr>
    </w:tbl>
    <w:p w:rsidR="00000000" w:rsidDel="00000000" w:rsidP="00000000" w:rsidRDefault="00000000" w:rsidRPr="00000000" w14:paraId="00000078">
      <w:pPr>
        <w:rPr/>
      </w:pPr>
      <w:r w:rsidDel="00000000" w:rsidR="00000000" w:rsidRPr="00000000">
        <w:rPr>
          <w:rtl w:val="0"/>
        </w:rPr>
      </w:r>
    </w:p>
    <w:tbl>
      <w:tblPr>
        <w:tblStyle w:val="Table4"/>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7088"/>
        <w:tblGridChange w:id="0">
          <w:tblGrid>
            <w:gridCol w:w="2410"/>
            <w:gridCol w:w="7088"/>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79">
            <w:pPr>
              <w:rPr/>
            </w:pPr>
            <w:r w:rsidDel="00000000" w:rsidR="00000000" w:rsidRPr="00000000">
              <w:rPr>
                <w:rtl w:val="0"/>
              </w:rPr>
              <w:t xml:space="preserve">Question Q4 - Customer Records and Compliance</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7B">
            <w:pPr>
              <w:rPr/>
            </w:pPr>
            <w:r w:rsidDel="00000000" w:rsidR="00000000" w:rsidRPr="00000000">
              <w:rPr>
                <w:rtl w:val="0"/>
              </w:rPr>
              <w:t xml:space="preserve">Requirement</w:t>
            </w:r>
          </w:p>
          <w:p w:rsidR="00000000" w:rsidDel="00000000" w:rsidP="00000000" w:rsidRDefault="00000000" w:rsidRPr="00000000" w14:paraId="0000007C">
            <w:pPr>
              <w:rPr/>
            </w:pPr>
            <w:r w:rsidDel="00000000" w:rsidR="00000000" w:rsidRPr="00000000">
              <w:rPr>
                <w:rtl w:val="0"/>
              </w:rPr>
              <w:t xml:space="preserve">CCS requires bidders  to demonstrate your organisations</w:t>
            </w:r>
            <w:r w:rsidDel="00000000" w:rsidR="00000000" w:rsidRPr="00000000">
              <w:rPr>
                <w:color w:val="ff0000"/>
                <w:rtl w:val="0"/>
              </w:rPr>
              <w:t xml:space="preserve"> </w:t>
            </w:r>
            <w:r w:rsidDel="00000000" w:rsidR="00000000" w:rsidRPr="00000000">
              <w:rPr>
                <w:rtl w:val="0"/>
              </w:rPr>
              <w:t xml:space="preserve">ability to allow buyers to access real-time customer records including, mediums available, Level of information available, reports available and available content and how this can be customised by the Buyer. This is detailed in 6.9, 1.126 - 1.129 of Schedule 1 - Annex I Managed Enforcement Services specification.</w:t>
            </w:r>
          </w:p>
          <w:p w:rsidR="00000000" w:rsidDel="00000000" w:rsidP="00000000" w:rsidRDefault="00000000" w:rsidRPr="00000000" w14:paraId="0000007D">
            <w:pPr>
              <w:rPr/>
            </w:pPr>
            <w:r w:rsidDel="00000000" w:rsidR="00000000" w:rsidRPr="00000000">
              <w:rPr>
                <w:rtl w:val="0"/>
              </w:rPr>
              <w:t xml:space="preserve">Bidders must demonstrate your compliance stage process and how you maximise collections at the compliance stage including the data, information and tools utilised to do so and what you will do to ensure continuous improvement in the volume of Customers engaged and debts resolved at the Compliance Stage as per the specification points 1.45, 1.48 in Schedule 1 - Annex I Managed Enforcement Services Specification.</w:t>
            </w:r>
          </w:p>
          <w:p w:rsidR="00000000" w:rsidDel="00000000" w:rsidP="00000000" w:rsidRDefault="00000000" w:rsidRPr="00000000" w14:paraId="0000007E">
            <w:pPr>
              <w:rPr/>
            </w:pPr>
            <w:r w:rsidDel="00000000" w:rsidR="00000000" w:rsidRPr="00000000">
              <w:rPr>
                <w:rtl w:val="0"/>
              </w:rPr>
              <w:t xml:space="preserve">Bidders</w:t>
            </w:r>
            <w:r w:rsidDel="00000000" w:rsidR="00000000" w:rsidRPr="00000000">
              <w:rPr>
                <w:color w:val="ff0000"/>
                <w:rtl w:val="0"/>
              </w:rPr>
              <w:t xml:space="preserve"> </w:t>
            </w:r>
            <w:r w:rsidDel="00000000" w:rsidR="00000000" w:rsidRPr="00000000">
              <w:rPr>
                <w:rtl w:val="0"/>
              </w:rPr>
              <w:t xml:space="preserve"> must provide information relating to interaction with buyers throughout the terms of their agreement and ensure an effective communication as specified in 1.126-1.137 in Schedule 1 - Annex I Managed enforcement Services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80">
            <w:pPr>
              <w:rPr>
                <w:color w:val="ff0000"/>
              </w:rPr>
            </w:pPr>
            <w:r w:rsidDel="00000000" w:rsidR="00000000" w:rsidRPr="00000000">
              <w:rPr>
                <w:rtl w:val="0"/>
              </w:rPr>
              <w:t xml:space="preserve">Response guidance</w:t>
            </w: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All bidders submitting a bid for Lot 20 must answer this question.</w:t>
            </w:r>
          </w:p>
          <w:p w:rsidR="00000000" w:rsidDel="00000000" w:rsidP="00000000" w:rsidRDefault="00000000" w:rsidRPr="00000000" w14:paraId="00000082">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83">
            <w:pPr>
              <w:spacing w:line="240" w:lineRule="auto"/>
              <w:ind w:left="57" w:right="57" w:firstLine="0"/>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8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ability to allow buyers to access real-time customer records including, mediums available, Level of information available, reports available and available content and how this can be customised by the Buyer as detailed in 6.9, 1.126 - 1.129 of Schedule 1 - Annex I Managed Enforcement Services Specification</w:t>
            </w:r>
          </w:p>
          <w:p w:rsidR="00000000" w:rsidDel="00000000" w:rsidP="00000000" w:rsidRDefault="00000000" w:rsidRPr="00000000" w14:paraId="0000008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processes you will have in place for providing and receiving accounts and progress updates on accounts from EA Subcontractors as specified in section 1.14 and 1.39 of Schedule 1 - Annex I Managed Enforcement Services Specification.</w:t>
            </w:r>
          </w:p>
          <w:p w:rsidR="00000000" w:rsidDel="00000000" w:rsidP="00000000" w:rsidRDefault="00000000" w:rsidRPr="00000000" w14:paraId="0000008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you will have in place to interact with Buyers that ensures a positive and efficient outcome to both parties when interactions between Supplier and data  provider are undertaken.</w:t>
            </w:r>
          </w:p>
          <w:p w:rsidR="00000000" w:rsidDel="00000000" w:rsidP="00000000" w:rsidRDefault="00000000" w:rsidRPr="00000000" w14:paraId="00000087">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88">
            <w:pPr>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Maximum character count – 6,000 characters including spaces and punctuation. </w:t>
            </w:r>
          </w:p>
          <w:p w:rsidR="00000000" w:rsidDel="00000000" w:rsidP="00000000" w:rsidRDefault="00000000" w:rsidRPr="00000000" w14:paraId="0000008A">
            <w:pPr>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8B">
            <w:pPr>
              <w:rPr>
                <w:b w:val="1"/>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8D">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8E">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8F">
            <w:pPr>
              <w:rPr/>
            </w:pPr>
            <w:r w:rsidDel="00000000" w:rsidR="00000000" w:rsidRPr="00000000">
              <w:rPr>
                <w:rtl w:val="0"/>
              </w:rPr>
              <w:t xml:space="preserve">100</w:t>
            </w:r>
          </w:p>
        </w:tc>
        <w:tc>
          <w:tcPr>
            <w:shd w:fill="ffffcc" w:val="clear"/>
          </w:tcPr>
          <w:p w:rsidR="00000000" w:rsidDel="00000000" w:rsidP="00000000" w:rsidRDefault="00000000" w:rsidRPr="00000000" w14:paraId="00000090">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1">
            <w:pPr>
              <w:rPr/>
            </w:pPr>
            <w:r w:rsidDel="00000000" w:rsidR="00000000" w:rsidRPr="00000000">
              <w:rPr>
                <w:rtl w:val="0"/>
              </w:rPr>
              <w:t xml:space="preserve">66</w:t>
            </w:r>
          </w:p>
        </w:tc>
        <w:tc>
          <w:tcPr>
            <w:shd w:fill="ffffcc" w:val="clear"/>
          </w:tcPr>
          <w:p w:rsidR="00000000" w:rsidDel="00000000" w:rsidP="00000000" w:rsidRDefault="00000000" w:rsidRPr="00000000" w14:paraId="00000092">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3">
            <w:pPr>
              <w:rPr/>
            </w:pPr>
            <w:r w:rsidDel="00000000" w:rsidR="00000000" w:rsidRPr="00000000">
              <w:rPr>
                <w:rtl w:val="0"/>
              </w:rPr>
              <w:t xml:space="preserve">33</w:t>
            </w:r>
          </w:p>
        </w:tc>
        <w:tc>
          <w:tcPr>
            <w:shd w:fill="ffffcc" w:val="clear"/>
          </w:tcPr>
          <w:p w:rsidR="00000000" w:rsidDel="00000000" w:rsidP="00000000" w:rsidRDefault="00000000" w:rsidRPr="00000000" w14:paraId="00000094">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5">
            <w:pPr>
              <w:rPr/>
            </w:pPr>
            <w:r w:rsidDel="00000000" w:rsidR="00000000" w:rsidRPr="00000000">
              <w:rPr>
                <w:rtl w:val="0"/>
              </w:rPr>
              <w:t xml:space="preserve">0</w:t>
            </w:r>
          </w:p>
        </w:tc>
        <w:tc>
          <w:tcPr>
            <w:shd w:fill="ffffcc" w:val="clear"/>
          </w:tcPr>
          <w:p w:rsidR="00000000" w:rsidDel="00000000" w:rsidP="00000000" w:rsidRDefault="00000000" w:rsidRPr="00000000" w14:paraId="00000096">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sectPr>
      <w:headerReference r:id="rId6" w:type="default"/>
      <w:footerReference r:id="rId7" w:type="default"/>
      <w:pgSz w:h="16838" w:w="11906" w:orient="portrait"/>
      <w:pgMar w:bottom="1440" w:top="1440" w:left="1440" w:right="1440" w:header="708"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Attachment 2c Annex K - AQ Section Q Lot 20</w:t>
      <w:tab/>
      <w:tab/>
      <w:t xml:space="preserve">Page </w:t>
    </w:r>
    <w:r w:rsidDel="00000000" w:rsidR="00000000" w:rsidRPr="00000000">
      <w:rPr>
        <w:rFonts w:ascii="Arial" w:cs="Arial" w:eastAsia="Arial" w:hAnsi="Arial"/>
        <w:b w:val="1"/>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Quality Questions Lot 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77" w:hanging="360"/>
      </w:pPr>
      <w:rPr/>
    </w:lvl>
    <w:lvl w:ilvl="1">
      <w:start w:val="1"/>
      <w:numFmt w:val="lowerLetter"/>
      <w:lvlText w:val="%2."/>
      <w:lvlJc w:val="left"/>
      <w:pPr>
        <w:ind w:left="1497" w:hanging="360"/>
      </w:pPr>
      <w:rPr/>
    </w:lvl>
    <w:lvl w:ilvl="2">
      <w:start w:val="1"/>
      <w:numFmt w:val="lowerRoman"/>
      <w:lvlText w:val="%3."/>
      <w:lvlJc w:val="right"/>
      <w:pPr>
        <w:ind w:left="2217" w:hanging="180"/>
      </w:pPr>
      <w:rPr/>
    </w:lvl>
    <w:lvl w:ilvl="3">
      <w:start w:val="1"/>
      <w:numFmt w:val="decimal"/>
      <w:lvlText w:val="%4."/>
      <w:lvlJc w:val="left"/>
      <w:pPr>
        <w:ind w:left="2937" w:hanging="360"/>
      </w:pPr>
      <w:rPr/>
    </w:lvl>
    <w:lvl w:ilvl="4">
      <w:start w:val="1"/>
      <w:numFmt w:val="lowerLetter"/>
      <w:lvlText w:val="%5."/>
      <w:lvlJc w:val="left"/>
      <w:pPr>
        <w:ind w:left="3657" w:hanging="360"/>
      </w:pPr>
      <w:rPr/>
    </w:lvl>
    <w:lvl w:ilvl="5">
      <w:start w:val="1"/>
      <w:numFmt w:val="lowerRoman"/>
      <w:lvlText w:val="%6."/>
      <w:lvlJc w:val="right"/>
      <w:pPr>
        <w:ind w:left="4377" w:hanging="180"/>
      </w:pPr>
      <w:rPr/>
    </w:lvl>
    <w:lvl w:ilvl="6">
      <w:start w:val="1"/>
      <w:numFmt w:val="decimal"/>
      <w:lvlText w:val="%7."/>
      <w:lvlJc w:val="left"/>
      <w:pPr>
        <w:ind w:left="5097" w:hanging="360"/>
      </w:pPr>
      <w:rPr/>
    </w:lvl>
    <w:lvl w:ilvl="7">
      <w:start w:val="1"/>
      <w:numFmt w:val="lowerLetter"/>
      <w:lvlText w:val="%8."/>
      <w:lvlJc w:val="left"/>
      <w:pPr>
        <w:ind w:left="5817" w:hanging="360"/>
      </w:pPr>
      <w:rPr/>
    </w:lvl>
    <w:lvl w:ilvl="8">
      <w:start w:val="1"/>
      <w:numFmt w:val="lowerRoman"/>
      <w:lvlText w:val="%9."/>
      <w:lvlJc w:val="right"/>
      <w:pPr>
        <w:ind w:left="6537" w:hanging="180"/>
      </w:pPr>
      <w:rPr/>
    </w:lvl>
  </w:abstractNum>
  <w:abstractNum w:abstractNumId="2">
    <w:lvl w:ilvl="0">
      <w:start w:val="1"/>
      <w:numFmt w:val="lowerLetter"/>
      <w:lvlText w:val="%1)"/>
      <w:lvlJc w:val="left"/>
      <w:pPr>
        <w:ind w:left="777" w:hanging="360"/>
      </w:pPr>
      <w:rPr/>
    </w:lvl>
    <w:lvl w:ilvl="1">
      <w:start w:val="1"/>
      <w:numFmt w:val="lowerLetter"/>
      <w:lvlText w:val="%2."/>
      <w:lvlJc w:val="left"/>
      <w:pPr>
        <w:ind w:left="1497" w:hanging="360"/>
      </w:pPr>
      <w:rPr/>
    </w:lvl>
    <w:lvl w:ilvl="2">
      <w:start w:val="1"/>
      <w:numFmt w:val="lowerRoman"/>
      <w:lvlText w:val="%3."/>
      <w:lvlJc w:val="right"/>
      <w:pPr>
        <w:ind w:left="2217" w:hanging="180"/>
      </w:pPr>
      <w:rPr/>
    </w:lvl>
    <w:lvl w:ilvl="3">
      <w:start w:val="1"/>
      <w:numFmt w:val="decimal"/>
      <w:lvlText w:val="%4."/>
      <w:lvlJc w:val="left"/>
      <w:pPr>
        <w:ind w:left="2937" w:hanging="360"/>
      </w:pPr>
      <w:rPr/>
    </w:lvl>
    <w:lvl w:ilvl="4">
      <w:start w:val="1"/>
      <w:numFmt w:val="lowerLetter"/>
      <w:lvlText w:val="%5."/>
      <w:lvlJc w:val="left"/>
      <w:pPr>
        <w:ind w:left="3657" w:hanging="360"/>
      </w:pPr>
      <w:rPr/>
    </w:lvl>
    <w:lvl w:ilvl="5">
      <w:start w:val="1"/>
      <w:numFmt w:val="lowerRoman"/>
      <w:lvlText w:val="%6."/>
      <w:lvlJc w:val="right"/>
      <w:pPr>
        <w:ind w:left="4377" w:hanging="180"/>
      </w:pPr>
      <w:rPr/>
    </w:lvl>
    <w:lvl w:ilvl="6">
      <w:start w:val="1"/>
      <w:numFmt w:val="decimal"/>
      <w:lvlText w:val="%7."/>
      <w:lvlJc w:val="left"/>
      <w:pPr>
        <w:ind w:left="5097" w:hanging="360"/>
      </w:pPr>
      <w:rPr/>
    </w:lvl>
    <w:lvl w:ilvl="7">
      <w:start w:val="1"/>
      <w:numFmt w:val="lowerLetter"/>
      <w:lvlText w:val="%8."/>
      <w:lvlJc w:val="left"/>
      <w:pPr>
        <w:ind w:left="5817" w:hanging="360"/>
      </w:pPr>
      <w:rPr/>
    </w:lvl>
    <w:lvl w:ilvl="8">
      <w:start w:val="1"/>
      <w:numFmt w:val="lowerRoman"/>
      <w:lvlText w:val="%9."/>
      <w:lvlJc w:val="right"/>
      <w:pPr>
        <w:ind w:left="6537" w:hanging="180"/>
      </w:pPr>
      <w:rPr/>
    </w:lvl>
  </w:abstractNum>
  <w:abstractNum w:abstractNumId="3">
    <w:lvl w:ilvl="0">
      <w:start w:val="1"/>
      <w:numFmt w:val="lowerLetter"/>
      <w:lvlText w:val="%1)"/>
      <w:lvlJc w:val="left"/>
      <w:pPr>
        <w:ind w:left="777" w:hanging="360"/>
      </w:pPr>
      <w:rPr/>
    </w:lvl>
    <w:lvl w:ilvl="1">
      <w:start w:val="1"/>
      <w:numFmt w:val="lowerLetter"/>
      <w:lvlText w:val="%2."/>
      <w:lvlJc w:val="left"/>
      <w:pPr>
        <w:ind w:left="1497" w:hanging="360"/>
      </w:pPr>
      <w:rPr/>
    </w:lvl>
    <w:lvl w:ilvl="2">
      <w:start w:val="1"/>
      <w:numFmt w:val="lowerRoman"/>
      <w:lvlText w:val="%3."/>
      <w:lvlJc w:val="right"/>
      <w:pPr>
        <w:ind w:left="2217" w:hanging="180"/>
      </w:pPr>
      <w:rPr/>
    </w:lvl>
    <w:lvl w:ilvl="3">
      <w:start w:val="1"/>
      <w:numFmt w:val="decimal"/>
      <w:lvlText w:val="%4."/>
      <w:lvlJc w:val="left"/>
      <w:pPr>
        <w:ind w:left="2937" w:hanging="360"/>
      </w:pPr>
      <w:rPr/>
    </w:lvl>
    <w:lvl w:ilvl="4">
      <w:start w:val="1"/>
      <w:numFmt w:val="lowerLetter"/>
      <w:lvlText w:val="%5."/>
      <w:lvlJc w:val="left"/>
      <w:pPr>
        <w:ind w:left="3657" w:hanging="360"/>
      </w:pPr>
      <w:rPr/>
    </w:lvl>
    <w:lvl w:ilvl="5">
      <w:start w:val="1"/>
      <w:numFmt w:val="lowerRoman"/>
      <w:lvlText w:val="%6."/>
      <w:lvlJc w:val="right"/>
      <w:pPr>
        <w:ind w:left="4377" w:hanging="180"/>
      </w:pPr>
      <w:rPr/>
    </w:lvl>
    <w:lvl w:ilvl="6">
      <w:start w:val="1"/>
      <w:numFmt w:val="decimal"/>
      <w:lvlText w:val="%7."/>
      <w:lvlJc w:val="left"/>
      <w:pPr>
        <w:ind w:left="5097" w:hanging="360"/>
      </w:pPr>
      <w:rPr/>
    </w:lvl>
    <w:lvl w:ilvl="7">
      <w:start w:val="1"/>
      <w:numFmt w:val="lowerLetter"/>
      <w:lvlText w:val="%8."/>
      <w:lvlJc w:val="left"/>
      <w:pPr>
        <w:ind w:left="5817" w:hanging="360"/>
      </w:pPr>
      <w:rPr/>
    </w:lvl>
    <w:lvl w:ilvl="8">
      <w:start w:val="1"/>
      <w:numFmt w:val="lowerRoman"/>
      <w:lvlText w:val="%9."/>
      <w:lvlJc w:val="right"/>
      <w:pPr>
        <w:ind w:left="6537" w:hanging="180"/>
      </w:pPr>
      <w:rPr/>
    </w:lvl>
  </w:abstractNum>
  <w:abstractNum w:abstractNumId="4">
    <w:lvl w:ilvl="0">
      <w:start w:val="1"/>
      <w:numFmt w:val="lowerLetter"/>
      <w:lvlText w:val="%1)"/>
      <w:lvlJc w:val="left"/>
      <w:pPr>
        <w:ind w:left="777" w:hanging="360"/>
      </w:pPr>
      <w:rPr/>
    </w:lvl>
    <w:lvl w:ilvl="1">
      <w:start w:val="1"/>
      <w:numFmt w:val="lowerLetter"/>
      <w:lvlText w:val="%2."/>
      <w:lvlJc w:val="left"/>
      <w:pPr>
        <w:ind w:left="1497" w:hanging="360"/>
      </w:pPr>
      <w:rPr/>
    </w:lvl>
    <w:lvl w:ilvl="2">
      <w:start w:val="1"/>
      <w:numFmt w:val="lowerRoman"/>
      <w:lvlText w:val="%3."/>
      <w:lvlJc w:val="right"/>
      <w:pPr>
        <w:ind w:left="2217" w:hanging="180"/>
      </w:pPr>
      <w:rPr/>
    </w:lvl>
    <w:lvl w:ilvl="3">
      <w:start w:val="1"/>
      <w:numFmt w:val="decimal"/>
      <w:lvlText w:val="%4."/>
      <w:lvlJc w:val="left"/>
      <w:pPr>
        <w:ind w:left="2937" w:hanging="360"/>
      </w:pPr>
      <w:rPr/>
    </w:lvl>
    <w:lvl w:ilvl="4">
      <w:start w:val="1"/>
      <w:numFmt w:val="lowerLetter"/>
      <w:lvlText w:val="%5."/>
      <w:lvlJc w:val="left"/>
      <w:pPr>
        <w:ind w:left="3657" w:hanging="360"/>
      </w:pPr>
      <w:rPr/>
    </w:lvl>
    <w:lvl w:ilvl="5">
      <w:start w:val="1"/>
      <w:numFmt w:val="lowerRoman"/>
      <w:lvlText w:val="%6."/>
      <w:lvlJc w:val="right"/>
      <w:pPr>
        <w:ind w:left="4377" w:hanging="180"/>
      </w:pPr>
      <w:rPr/>
    </w:lvl>
    <w:lvl w:ilvl="6">
      <w:start w:val="1"/>
      <w:numFmt w:val="decimal"/>
      <w:lvlText w:val="%7."/>
      <w:lvlJc w:val="left"/>
      <w:pPr>
        <w:ind w:left="5097" w:hanging="360"/>
      </w:pPr>
      <w:rPr/>
    </w:lvl>
    <w:lvl w:ilvl="7">
      <w:start w:val="1"/>
      <w:numFmt w:val="lowerLetter"/>
      <w:lvlText w:val="%8."/>
      <w:lvlJc w:val="left"/>
      <w:pPr>
        <w:ind w:left="5817" w:hanging="360"/>
      </w:pPr>
      <w:rPr/>
    </w:lvl>
    <w:lvl w:ilvl="8">
      <w:start w:val="1"/>
      <w:numFmt w:val="lowerRoman"/>
      <w:lvlText w:val="%9."/>
      <w:lvlJc w:val="right"/>
      <w:pPr>
        <w:ind w:left="6537"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